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F7" w:rsidRDefault="00983AF7">
      <w:pPr>
        <w:pStyle w:val="NoSpacing"/>
        <w:jc w:val="center"/>
        <w:rPr>
          <w:b/>
          <w:sz w:val="22"/>
          <w:szCs w:val="22"/>
          <w:lang w:val="ro-RO"/>
        </w:rPr>
      </w:pPr>
    </w:p>
    <w:p w:rsidR="00983AF7" w:rsidRDefault="00354917">
      <w:pPr>
        <w:pStyle w:val="NoSpacing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DECLARAȚIE PRIVIND ASUMAREA UNEI AGENDE DE INTEGRITATE ORGANIZAȚIONALĂ</w:t>
      </w:r>
    </w:p>
    <w:p w:rsidR="00983AF7" w:rsidRDefault="00354917">
      <w:pPr>
        <w:pStyle w:val="NoSpacing"/>
        <w:jc w:val="center"/>
      </w:pPr>
      <w:r>
        <w:rPr>
          <w:b/>
          <w:sz w:val="22"/>
          <w:szCs w:val="22"/>
          <w:lang w:val="ro-RO"/>
        </w:rPr>
        <w:t xml:space="preserve">A </w:t>
      </w:r>
      <w:r>
        <w:rPr>
          <w:b/>
          <w:sz w:val="22"/>
          <w:szCs w:val="22"/>
          <w:lang w:val="ro-RO"/>
        </w:rPr>
        <w:t>INSTITUȚIEI  PREFECTULUI -JUDEȚUL OLT</w:t>
      </w:r>
    </w:p>
    <w:p w:rsidR="00983AF7" w:rsidRDefault="00983AF7">
      <w:pPr>
        <w:rPr>
          <w:b/>
          <w:sz w:val="22"/>
          <w:szCs w:val="22"/>
          <w:lang w:val="ro-RO"/>
        </w:rPr>
      </w:pPr>
    </w:p>
    <w:p w:rsidR="00983AF7" w:rsidRDefault="00354917">
      <w:pPr>
        <w:ind w:firstLine="720"/>
        <w:jc w:val="both"/>
      </w:pPr>
      <w:r>
        <w:rPr>
          <w:sz w:val="22"/>
          <w:szCs w:val="22"/>
          <w:lang w:val="ro-RO"/>
        </w:rPr>
        <w:t xml:space="preserve">Având în vedere adoptarea de către Guvernul României a Strategiei Naţionale Anticorupţie pe perioada 2021 – 2025 și a documentelor aferente </w:t>
      </w:r>
      <w:r>
        <w:rPr>
          <w:sz w:val="22"/>
          <w:szCs w:val="22"/>
          <w:lang w:val="ro-RO"/>
        </w:rPr>
        <w:t>acesteia, aprobate prin Hotărârea Guvernului nr. 1269/2021,</w:t>
      </w:r>
    </w:p>
    <w:p w:rsidR="00983AF7" w:rsidRDefault="00354917">
      <w:pPr>
        <w:ind w:firstLine="720"/>
        <w:jc w:val="both"/>
      </w:pPr>
      <w:r>
        <w:rPr>
          <w:b/>
          <w:sz w:val="22"/>
          <w:szCs w:val="22"/>
          <w:lang w:val="ro-RO"/>
        </w:rPr>
        <w:t>INSTITUȚIA  PREFECTULUI -JUDEȚUL OLT</w:t>
      </w:r>
      <w:r>
        <w:rPr>
          <w:sz w:val="22"/>
          <w:szCs w:val="22"/>
          <w:lang w:val="ro-RO"/>
        </w:rPr>
        <w:t xml:space="preserve">, </w:t>
      </w:r>
      <w:r>
        <w:rPr>
          <w:color w:val="000000"/>
          <w:sz w:val="22"/>
          <w:szCs w:val="22"/>
          <w:lang w:val="ro-RO"/>
        </w:rPr>
        <w:t xml:space="preserve">este o instituţie publică cu personalitate juridică, cu  </w:t>
      </w:r>
      <w:r>
        <w:rPr>
          <w:rFonts w:eastAsia="Calibri"/>
          <w:color w:val="000000"/>
          <w:sz w:val="22"/>
          <w:szCs w:val="22"/>
          <w:lang w:val="ro-RO"/>
        </w:rPr>
        <w:t xml:space="preserve">buget propriu, aflată în subordinea Guvernului, </w:t>
      </w:r>
      <w:r>
        <w:rPr>
          <w:rFonts w:eastAsia="Calibri"/>
          <w:sz w:val="22"/>
          <w:szCs w:val="22"/>
          <w:lang w:val="ro-RO"/>
        </w:rPr>
        <w:t>, având rolul de a asigura :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Exercitarea rolului cons</w:t>
      </w:r>
      <w:r>
        <w:rPr>
          <w:rFonts w:eastAsia="Calibri"/>
          <w:sz w:val="22"/>
          <w:szCs w:val="22"/>
          <w:lang w:val="ro-RO"/>
        </w:rPr>
        <w:t>tituțional de conducere a serviciilor publice deconcentrate ale ministerelor și ale celorlalte organe ale administrației publice centrale din unitățile administrativ – teritoriale;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Verificarea legalității actelor administrative ale autorităților administra</w:t>
      </w:r>
      <w:r>
        <w:rPr>
          <w:rFonts w:eastAsia="Calibri"/>
          <w:sz w:val="22"/>
          <w:szCs w:val="22"/>
          <w:lang w:val="ro-RO"/>
        </w:rPr>
        <w:t>ț</w:t>
      </w:r>
      <w:r>
        <w:rPr>
          <w:rFonts w:eastAsia="Calibri"/>
          <w:sz w:val="22"/>
          <w:szCs w:val="22"/>
          <w:lang w:val="ro-RO"/>
        </w:rPr>
        <w:t>iei publice locale și atacarea actelor administrative ale acestor autorități pe care le consideră ilegale;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Îndrumare, la cererea autorităților administrației publice locale, privind aplicarea normelor legale din sfera de competență;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Managementul performan</w:t>
      </w:r>
      <w:r>
        <w:rPr>
          <w:rFonts w:eastAsia="Calibri"/>
          <w:sz w:val="22"/>
          <w:szCs w:val="22"/>
          <w:lang w:val="ro-RO"/>
        </w:rPr>
        <w:t>t al situațiilor de urgență;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Garantarea aplicării legislației cu privire la dreptul de proprietate;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Creșterea economicității, eficienței și eficacității privind atingerea obiectivelor prevăzute în Planul de activitate elaborat la nivelul instituției prefec</w:t>
      </w:r>
      <w:r>
        <w:rPr>
          <w:rFonts w:eastAsia="Calibri"/>
          <w:sz w:val="22"/>
          <w:szCs w:val="22"/>
          <w:lang w:val="ro-RO"/>
        </w:rPr>
        <w:t>tului;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Creșterea gradului de absorție a fondurilor europene la nivelul județului;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Promovarea activității instituției, îmbunătățirea relațiilor sale cu mediul extern și asigurarea unui management de performanță al resurselor acesteia;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Promovarea județului c</w:t>
      </w:r>
      <w:r>
        <w:rPr>
          <w:rFonts w:eastAsia="Calibri"/>
          <w:sz w:val="22"/>
          <w:szCs w:val="22"/>
          <w:lang w:val="ro-RO"/>
        </w:rPr>
        <w:t>u scopul de a trage noi investiții în zonă, dar și din punct de vedere turistic;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Asigurarea transparenței în sectorul public prin mecanisme și strategii eficiente;</w:t>
      </w:r>
    </w:p>
    <w:p w:rsidR="00983AF7" w:rsidRDefault="00354917">
      <w:pPr>
        <w:pStyle w:val="WW-Default"/>
        <w:numPr>
          <w:ilvl w:val="0"/>
          <w:numId w:val="2"/>
        </w:numPr>
        <w:spacing w:after="0" w:line="240" w:lineRule="auto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 xml:space="preserve">Comunicarea permanentă cu toate nivelurile instituționale și sociale. </w:t>
      </w:r>
    </w:p>
    <w:p w:rsidR="00983AF7" w:rsidRDefault="00354917">
      <w:pPr>
        <w:ind w:firstLine="720"/>
        <w:jc w:val="both"/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 xml:space="preserve">Asumându-și valorile </w:t>
      </w:r>
      <w:r>
        <w:rPr>
          <w:rFonts w:eastAsia="Calibri"/>
          <w:sz w:val="22"/>
          <w:szCs w:val="22"/>
          <w:lang w:val="ro-RO"/>
        </w:rPr>
        <w:t>fundamentale şi principiile promovate de către Strategia Naţională Anticorupţie pe perioada 2021-2025,</w:t>
      </w:r>
    </w:p>
    <w:p w:rsidR="00983AF7" w:rsidRDefault="00354917">
      <w:pPr>
        <w:ind w:firstLine="720"/>
        <w:jc w:val="both"/>
        <w:rPr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Recunoscând importanţa obiectivelor Strategiei Naţionale Anticorupţie pentru perioada 2021-2025, precum şi a mecanismului de monitorizare a acesteia,</w:t>
      </w:r>
    </w:p>
    <w:p w:rsidR="00983AF7" w:rsidRDefault="00983AF7">
      <w:pPr>
        <w:jc w:val="both"/>
        <w:rPr>
          <w:sz w:val="22"/>
          <w:szCs w:val="22"/>
          <w:lang w:val="ro-RO"/>
        </w:rPr>
      </w:pPr>
    </w:p>
    <w:p w:rsidR="00983AF7" w:rsidRDefault="00354917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AD</w:t>
      </w:r>
      <w:r>
        <w:rPr>
          <w:b/>
          <w:sz w:val="22"/>
          <w:szCs w:val="22"/>
          <w:lang w:val="ro-RO"/>
        </w:rPr>
        <w:t xml:space="preserve">OPTĂ PREZENTA AGENDĂ DE INTEGRITATE ORGANIZAȚIONALĂ, </w:t>
      </w:r>
      <w:r>
        <w:rPr>
          <w:sz w:val="22"/>
          <w:szCs w:val="22"/>
          <w:lang w:val="ro-RO"/>
        </w:rPr>
        <w:t>prin care</w:t>
      </w:r>
      <w:r>
        <w:rPr>
          <w:b/>
          <w:sz w:val="22"/>
          <w:szCs w:val="22"/>
          <w:lang w:val="ro-RO"/>
        </w:rPr>
        <w:t>:</w:t>
      </w:r>
    </w:p>
    <w:p w:rsidR="00983AF7" w:rsidRDefault="00354917">
      <w:pPr>
        <w:pStyle w:val="ListParagraph"/>
        <w:numPr>
          <w:ilvl w:val="3"/>
          <w:numId w:val="1"/>
        </w:numPr>
        <w:ind w:left="360"/>
        <w:jc w:val="both"/>
      </w:pPr>
      <w:r>
        <w:rPr>
          <w:rFonts w:ascii="Times New Roman" w:hAnsi="Times New Roman"/>
          <w:sz w:val="22"/>
          <w:szCs w:val="22"/>
          <w:lang w:val="ro-RO"/>
        </w:rPr>
        <w:t xml:space="preserve">Condamnă corupţia în toate formele în care se manifestă; 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 xml:space="preserve">Aderă la valorile fundamentale, principiile, obiectivele şi mecanismul de monitorizare a Strategiei Naţionale Anticorupţie pentru perioada 2021 – 2025; 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Îşi exprimă, în mod ferm, angajamentul de continuare a eforturilor anticorupţie prin toate mijloacele l</w:t>
      </w:r>
      <w:r>
        <w:rPr>
          <w:rFonts w:ascii="Times New Roman" w:hAnsi="Times New Roman"/>
          <w:sz w:val="22"/>
          <w:szCs w:val="22"/>
          <w:lang w:val="ro-RO"/>
        </w:rPr>
        <w:t xml:space="preserve">egale şi administrative corespunzătoare; 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Împreună cu reprezentanţii instituţiei adoptă toate măsurile necesare pentru evitarea situaţiilor de conflict de interese şi incompatibilităţi, precum şi pentru considerarea interesului public mai presus de orice a</w:t>
      </w:r>
      <w:r>
        <w:rPr>
          <w:rFonts w:ascii="Times New Roman" w:hAnsi="Times New Roman"/>
          <w:sz w:val="22"/>
          <w:szCs w:val="22"/>
          <w:lang w:val="ro-RO"/>
        </w:rPr>
        <w:t xml:space="preserve">lt interes, în acord cu respectarea principiului transparenţei procesului decizional şi accesului neîngrădit la informaţiile de interes public; 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Îşi asumă îndeplinirea măsurilor specifice ce ţin de competenţa exclusivă a instituţiei pe care o reprezintă;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S</w:t>
      </w:r>
      <w:r>
        <w:rPr>
          <w:rFonts w:ascii="Times New Roman" w:hAnsi="Times New Roman"/>
          <w:sz w:val="22"/>
          <w:szCs w:val="22"/>
          <w:lang w:val="ro-RO"/>
        </w:rPr>
        <w:t>usţine şi promovează implementarea cadrului legislativ anticorupţie ce vizează, în principal, prevenirea corupţiei în instituţiile publice, creşterea gradului de educaţie anticorupţie, combaterea corupţiei prin măsuri administrative, aprobarea planurilor d</w:t>
      </w:r>
      <w:r>
        <w:rPr>
          <w:rFonts w:ascii="Times New Roman" w:hAnsi="Times New Roman"/>
          <w:sz w:val="22"/>
          <w:szCs w:val="22"/>
          <w:lang w:val="ro-RO"/>
        </w:rPr>
        <w:t>e integritate şi dezvoltarea sistemului naţional de monitorizare a SNA;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ascii="Times New Roman" w:hAnsi="Times New Roman"/>
          <w:sz w:val="22"/>
          <w:szCs w:val="22"/>
          <w:lang w:val="ro-RO"/>
        </w:rPr>
        <w:t xml:space="preserve">Autoevaluează anual şi informează </w:t>
      </w:r>
      <w:r>
        <w:rPr>
          <w:rFonts w:ascii="Times New Roman" w:hAnsi="Times New Roman"/>
          <w:sz w:val="22"/>
          <w:szCs w:val="22"/>
          <w:lang w:val="ro-RO"/>
        </w:rPr>
        <w:t>Direcția Generală Anticorupție din cadrul Ministerul Afacerilor Interne</w:t>
      </w:r>
      <w:r>
        <w:rPr>
          <w:rFonts w:ascii="Times New Roman" w:hAnsi="Times New Roman"/>
          <w:sz w:val="22"/>
          <w:szCs w:val="22"/>
          <w:lang w:val="ro-RO"/>
        </w:rPr>
        <w:t xml:space="preserve"> asupra gradului de implementare a planului de integritate pe instituţie;</w:t>
      </w:r>
    </w:p>
    <w:p w:rsidR="00983AF7" w:rsidRDefault="0035491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Autoe</w:t>
      </w:r>
      <w:r>
        <w:rPr>
          <w:rFonts w:ascii="Times New Roman" w:hAnsi="Times New Roman"/>
          <w:sz w:val="22"/>
          <w:szCs w:val="22"/>
          <w:lang w:val="ro-RO"/>
        </w:rPr>
        <w:t>valuează anual şi informează Secretariatul tehnic al SNA asupra gradului de implementare a măsurilor preventive obligatorii (prevăzute în Anexa nr. 3 la H.G. nr. 1269/2021 privind aprobarea Strategiei Naţionale Anticorupţie 2021 – 2025).</w:t>
      </w:r>
    </w:p>
    <w:p w:rsidR="00983AF7" w:rsidRDefault="00983AF7">
      <w:pPr>
        <w:jc w:val="center"/>
        <w:rPr>
          <w:b/>
          <w:sz w:val="22"/>
          <w:szCs w:val="22"/>
          <w:lang w:val="ro-RO"/>
        </w:rPr>
      </w:pPr>
    </w:p>
    <w:p w:rsidR="00983AF7" w:rsidRDefault="00354917">
      <w:pPr>
        <w:jc w:val="center"/>
      </w:pPr>
      <w:r>
        <w:rPr>
          <w:b/>
          <w:sz w:val="22"/>
          <w:szCs w:val="22"/>
          <w:lang w:val="ro-RO"/>
        </w:rPr>
        <w:t>Această declarați</w:t>
      </w:r>
      <w:r>
        <w:rPr>
          <w:b/>
          <w:sz w:val="22"/>
          <w:szCs w:val="22"/>
          <w:lang w:val="ro-RO"/>
        </w:rPr>
        <w:t>e a fost adoptată de către</w:t>
      </w:r>
    </w:p>
    <w:p w:rsidR="00983AF7" w:rsidRDefault="00354917">
      <w:pPr>
        <w:jc w:val="center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 R E F E C T </w:t>
      </w:r>
    </w:p>
    <w:p w:rsidR="00983AF7" w:rsidRDefault="00354917">
      <w:pPr>
        <w:spacing w:line="480" w:lineRule="auto"/>
        <w:jc w:val="center"/>
        <w:rPr>
          <w:b/>
          <w:sz w:val="22"/>
          <w:szCs w:val="22"/>
          <w:lang w:val="ro-RO"/>
        </w:rPr>
      </w:pPr>
      <w:bookmarkStart w:id="0" w:name="_GoBack"/>
      <w:bookmarkEnd w:id="0"/>
      <w:r>
        <w:rPr>
          <w:b/>
          <w:sz w:val="22"/>
          <w:szCs w:val="22"/>
          <w:lang w:val="ro-RO"/>
        </w:rPr>
        <w:t>Florin- Constantin HOMOREAN</w:t>
      </w:r>
    </w:p>
    <w:sectPr w:rsidR="00983AF7" w:rsidSect="00983AF7">
      <w:headerReference w:type="default" r:id="rId7"/>
      <w:footerReference w:type="default" r:id="rId8"/>
      <w:pgSz w:w="11906" w:h="16838"/>
      <w:pgMar w:top="1440" w:right="488" w:bottom="1135" w:left="993" w:header="540" w:footer="2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17" w:rsidRDefault="00354917" w:rsidP="00983AF7">
      <w:r>
        <w:separator/>
      </w:r>
    </w:p>
  </w:endnote>
  <w:endnote w:type="continuationSeparator" w:id="1">
    <w:p w:rsidR="00354917" w:rsidRDefault="00354917" w:rsidP="0098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879036"/>
      <w:docPartObj>
        <w:docPartGallery w:val="Page Numbers (Bottom of Page)"/>
        <w:docPartUnique/>
      </w:docPartObj>
    </w:sdtPr>
    <w:sdtContent>
      <w:p w:rsidR="00983AF7" w:rsidRDefault="00983AF7">
        <w:pPr>
          <w:tabs>
            <w:tab w:val="center" w:pos="4320"/>
            <w:tab w:val="right" w:pos="8640"/>
          </w:tabs>
          <w:rPr>
            <w:rFonts w:ascii="Trebuchet MS" w:hAnsi="Trebuchet MS"/>
            <w:b/>
            <w:sz w:val="14"/>
            <w:szCs w:val="1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17" w:rsidRDefault="00354917" w:rsidP="00983AF7">
      <w:r>
        <w:separator/>
      </w:r>
    </w:p>
  </w:footnote>
  <w:footnote w:type="continuationSeparator" w:id="1">
    <w:p w:rsidR="00354917" w:rsidRDefault="00354917" w:rsidP="0098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F7" w:rsidRDefault="00354917">
    <w:pPr>
      <w:pStyle w:val="Header"/>
      <w:jc w:val="center"/>
    </w:pPr>
    <w:r>
      <w:rPr>
        <w:noProof/>
      </w:rPr>
      <w:drawing>
        <wp:inline distT="0" distB="0" distL="0" distR="0">
          <wp:extent cx="2440305" cy="99060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1" t="-226" r="-101" b="-226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689"/>
    <w:multiLevelType w:val="multilevel"/>
    <w:tmpl w:val="12A219DA"/>
    <w:lvl w:ilvl="0">
      <w:start w:val="1"/>
      <w:numFmt w:val="decimal"/>
      <w:suff w:val="space"/>
      <w:lvlText w:val="(%1)"/>
      <w:lvlJc w:val="left"/>
      <w:pPr>
        <w:ind w:left="0" w:firstLine="0"/>
      </w:pPr>
      <w:rPr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840CA"/>
    <w:multiLevelType w:val="multilevel"/>
    <w:tmpl w:val="7BA87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414AAA"/>
    <w:multiLevelType w:val="multilevel"/>
    <w:tmpl w:val="7F6E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AF7"/>
    <w:rsid w:val="00354917"/>
    <w:rsid w:val="008F4544"/>
    <w:rsid w:val="009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6092B"/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092B"/>
    <w:rPr>
      <w:rFonts w:eastAsiaTheme="minorEastAs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31B0"/>
    <w:rPr>
      <w:rFonts w:ascii="Segoe UI" w:hAnsi="Segoe UI" w:cs="Segoe UI"/>
      <w:sz w:val="18"/>
      <w:szCs w:val="18"/>
    </w:rPr>
  </w:style>
  <w:style w:type="character" w:customStyle="1" w:styleId="Accentuat">
    <w:name w:val="Accentuat"/>
    <w:basedOn w:val="DefaultParagraphFont"/>
    <w:uiPriority w:val="20"/>
    <w:qFormat/>
    <w:rsid w:val="00376E20"/>
    <w:rPr>
      <w:i/>
      <w:iCs/>
    </w:rPr>
  </w:style>
  <w:style w:type="character" w:customStyle="1" w:styleId="WW8Num43z0">
    <w:name w:val="WW8Num43z0"/>
    <w:qFormat/>
    <w:rsid w:val="00983AF7"/>
    <w:rPr>
      <w:lang w:val="ro-RO"/>
    </w:rPr>
  </w:style>
  <w:style w:type="paragraph" w:customStyle="1" w:styleId="Stiltitlu">
    <w:name w:val="Stil titlu"/>
    <w:basedOn w:val="Normal"/>
    <w:next w:val="BodyText"/>
    <w:qFormat/>
    <w:rsid w:val="00983A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983AF7"/>
    <w:pPr>
      <w:spacing w:after="140" w:line="276" w:lineRule="auto"/>
    </w:pPr>
  </w:style>
  <w:style w:type="paragraph" w:styleId="List">
    <w:name w:val="List"/>
    <w:basedOn w:val="BodyText"/>
    <w:rsid w:val="00983AF7"/>
    <w:rPr>
      <w:rFonts w:cs="Arial"/>
    </w:rPr>
  </w:style>
  <w:style w:type="paragraph" w:styleId="Caption">
    <w:name w:val="caption"/>
    <w:basedOn w:val="Normal"/>
    <w:qFormat/>
    <w:rsid w:val="00983AF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83AF7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983AF7"/>
  </w:style>
  <w:style w:type="paragraph" w:styleId="Header">
    <w:name w:val="header"/>
    <w:basedOn w:val="Normal"/>
    <w:link w:val="HeaderChar"/>
    <w:uiPriority w:val="99"/>
    <w:unhideWhenUsed/>
    <w:rsid w:val="002609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6092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qFormat/>
    <w:rsid w:val="00590B25"/>
    <w:pPr>
      <w:spacing w:beforeAutospacing="1" w:afterAutospacing="1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3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729"/>
    <w:pPr>
      <w:ind w:left="720"/>
      <w:contextualSpacing/>
    </w:pPr>
    <w:rPr>
      <w:rFonts w:ascii="Calibri" w:eastAsia="Calibri" w:hAnsi="Calibri"/>
      <w:lang w:val="en-GB"/>
    </w:rPr>
  </w:style>
  <w:style w:type="paragraph" w:customStyle="1" w:styleId="NoSpacing1">
    <w:name w:val="No Spacing1"/>
    <w:next w:val="NoSpacing"/>
    <w:uiPriority w:val="1"/>
    <w:qFormat/>
    <w:rsid w:val="00EA5729"/>
    <w:rPr>
      <w:rFonts w:cs="Times New Roman"/>
      <w:sz w:val="24"/>
      <w:lang w:val="en-US"/>
    </w:rPr>
  </w:style>
  <w:style w:type="paragraph" w:styleId="NoSpacing">
    <w:name w:val="No Spacing"/>
    <w:uiPriority w:val="1"/>
    <w:qFormat/>
    <w:rsid w:val="00EA57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Default">
    <w:name w:val="WW-Default"/>
    <w:qFormat/>
    <w:rsid w:val="00983AF7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numbering" w:customStyle="1" w:styleId="WW8Num43">
    <w:name w:val="WW8Num43"/>
    <w:qFormat/>
    <w:rsid w:val="00983A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Cernega</dc:creator>
  <cp:lastModifiedBy>user</cp:lastModifiedBy>
  <cp:revision>2</cp:revision>
  <cp:lastPrinted>2022-09-27T15:40:00Z</cp:lastPrinted>
  <dcterms:created xsi:type="dcterms:W3CDTF">2022-09-27T12:58:00Z</dcterms:created>
  <dcterms:modified xsi:type="dcterms:W3CDTF">2022-09-27T12:58:00Z</dcterms:modified>
  <dc:language>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